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6FBCD" w14:textId="66C8D9AE" w:rsidR="00C054DD" w:rsidRPr="00C054DD" w:rsidRDefault="00C054DD" w:rsidP="00C054DD">
      <w:pPr>
        <w:spacing w:after="0" w:line="480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14:ligatures w14:val="none"/>
        </w:rPr>
        <w:t>Summative Essay Questions</w:t>
      </w:r>
    </w:p>
    <w:p w14:paraId="25B3C5A9" w14:textId="0399D7E5" w:rsidR="00C054DD" w:rsidRPr="00C054DD" w:rsidRDefault="00C054DD" w:rsidP="00C054DD">
      <w:pPr>
        <w:spacing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Navigating Sustainability in Asia</w:t>
      </w:r>
      <w:r w:rsidRPr="00C054DD">
        <w:rPr>
          <w:rFonts w:ascii="Times New Roman" w:hAnsi="Times New Roman" w:cs="Times New Roman" w:hint="eastAsia"/>
          <w:kern w:val="0"/>
          <w14:ligatures w14:val="none"/>
        </w:rPr>
        <w:t xml:space="preserve"> (Chapter 1-11)</w:t>
      </w:r>
    </w:p>
    <w:p w14:paraId="14770430" w14:textId="3FED75D7" w:rsidR="00C054DD" w:rsidRPr="00C054DD" w:rsidRDefault="00C054DD" w:rsidP="00C054DD">
      <w:pPr>
        <w:spacing w:after="100" w:afterAutospacing="1" w:line="480" w:lineRule="auto"/>
        <w:rPr>
          <w:rFonts w:ascii="Times New Roman" w:hAnsi="Times New Roman" w:cs="Times New Roman"/>
          <w:i/>
          <w:i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A: Foundations &amp; Stakeholders</w:t>
      </w:r>
    </w:p>
    <w:p w14:paraId="34E84F66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1D8E967D" w14:textId="5C1EA2F2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Why is applying a single, global ESG framework often ineffective in Asia? Discuss with reference to stakeholder diversity, ownership structures, and regulatory capacity.</w:t>
      </w:r>
    </w:p>
    <w:p w14:paraId="022FFE6C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6812EC85" w14:textId="77BE384F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Explain why improvements in ESG disclosure alone are insufficient to address sustainability risks in many Asian markets.</w:t>
      </w:r>
    </w:p>
    <w:p w14:paraId="39089A7A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191B3A83" w14:textId="0EDD7EB0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How do informal institutions, relationships, and nonstate actors influence sustainability outcomes in Asia compared with Western markets?</w:t>
      </w:r>
    </w:p>
    <w:p w14:paraId="44A07B12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B: Communicating ESG to Capital Markets</w:t>
      </w:r>
    </w:p>
    <w:p w14:paraId="5B9E4651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2D6F2D12" w14:textId="004805B7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Why do investors in Asia often struggle to assess ESG risks using standard global metrics? What information gaps matter most?</w:t>
      </w:r>
    </w:p>
    <w:p w14:paraId="1D20EA1A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29B45226" w14:textId="6AFC2CA2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How should Asian companies communicate ESG progress credibly to investors without overstating ambition or inviting greenwashing concerns?</w:t>
      </w:r>
    </w:p>
    <w:p w14:paraId="05C03B46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Q6</w:t>
      </w:r>
    </w:p>
    <w:p w14:paraId="575C02E9" w14:textId="13206B51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Discuss how ESG considerations are increasingly shaping capital allocation decisions in Asia.</w:t>
      </w:r>
    </w:p>
    <w:p w14:paraId="7FE88872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C: China</w:t>
      </w:r>
    </w:p>
    <w:p w14:paraId="16C77B85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3F651EDC" w14:textId="1E677C84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Analyse how China’s centralised policy direction shapes corporate sustainability behaviour, and explain why execution outcomes remain uneven.</w:t>
      </w:r>
    </w:p>
    <w:p w14:paraId="255DC40D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6BADA20C" w14:textId="62401933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How should multinational companies reconcile global ESG expectations with local regulatory realities when operating in China?</w:t>
      </w:r>
    </w:p>
    <w:p w14:paraId="7F2E8BA9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Q9</w:t>
      </w:r>
    </w:p>
    <w:p w14:paraId="131F2544" w14:textId="7A02818C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Is China more likely to drive global sustainability convergence or divergence over the next decade? Support your argument with examples.</w:t>
      </w:r>
    </w:p>
    <w:p w14:paraId="2CE5637E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D: Japan</w:t>
      </w:r>
    </w:p>
    <w:p w14:paraId="77269EAE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Q10</w:t>
      </w:r>
    </w:p>
    <w:p w14:paraId="340DAC3A" w14:textId="4A854C2D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Discuss how cross-shareholdings and corporate culture affect governance reform in Japan, despite improvements in disclosure and stewardship.</w:t>
      </w:r>
    </w:p>
    <w:p w14:paraId="0B950ABC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Q11</w:t>
      </w:r>
    </w:p>
    <w:p w14:paraId="20CF173E" w14:textId="7762EEF9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Why has investor engagement played a more influential role than regulation in advancing sustainability practices in Japan?</w:t>
      </w:r>
    </w:p>
    <w:p w14:paraId="43BB607E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E: South Korea</w:t>
      </w:r>
    </w:p>
    <w:p w14:paraId="067199BE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Q12</w:t>
      </w:r>
    </w:p>
    <w:p w14:paraId="2B2D4CE1" w14:textId="4D24A381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Explain why chaebol structures create persistent governance and sustainability challenges in South Korea.</w:t>
      </w:r>
    </w:p>
    <w:p w14:paraId="03EB189A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Q13</w:t>
      </w:r>
    </w:p>
    <w:p w14:paraId="5289C8B1" w14:textId="78917C95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How can South Korea balance economic competitiveness with improved governance and social sustainability?</w:t>
      </w:r>
    </w:p>
    <w:p w14:paraId="0AE506CB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F: India</w:t>
      </w:r>
    </w:p>
    <w:p w14:paraId="0F426115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Q14</w:t>
      </w:r>
    </w:p>
    <w:p w14:paraId="2550E0A8" w14:textId="607D4154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Why are ambitious sustainability commitments common in India, and what risks arise when execution capacity is weak?</w:t>
      </w:r>
    </w:p>
    <w:p w14:paraId="2AC74B73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Q15</w:t>
      </w:r>
    </w:p>
    <w:p w14:paraId="17C5CD22" w14:textId="07ECDCED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Discuss the role of promoters in shaping sustainability outcomes in Indian companies.</w:t>
      </w:r>
    </w:p>
    <w:p w14:paraId="1A5B4A00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Q16</w:t>
      </w:r>
    </w:p>
    <w:p w14:paraId="2074A5C9" w14:textId="2D1C8AEA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How should investors distinguish between genuine sustainability leadership and greenwashing in India?</w:t>
      </w:r>
    </w:p>
    <w:p w14:paraId="3608D1BC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G: Investors in Asia</w:t>
      </w:r>
    </w:p>
    <w:p w14:paraId="0B62D83D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Q17</w:t>
      </w:r>
    </w:p>
    <w:p w14:paraId="4564CB9B" w14:textId="36F5B1D3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Why do governance risks such as dual-class shares and controlling shareholders pose particular challenges for investors in Asia?</w:t>
      </w:r>
    </w:p>
    <w:p w14:paraId="46E3DA7E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Q18</w:t>
      </w:r>
    </w:p>
    <w:p w14:paraId="2FE6ECFF" w14:textId="1D3D805A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Explain why active stewardship is often more effective than divestment for improving ESG outcomes in Asian markets.</w:t>
      </w:r>
    </w:p>
    <w:p w14:paraId="491EBF37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Q19</w:t>
      </w:r>
    </w:p>
    <w:p w14:paraId="2E4FF404" w14:textId="54D08090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How do legal enforcement gaps and cultural norms shape investor behaviour across different Asian markets?</w:t>
      </w:r>
    </w:p>
    <w:p w14:paraId="4C511618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H: International &amp; U.S. Executives</w:t>
      </w:r>
    </w:p>
    <w:p w14:paraId="5DC96BFC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Q20</w:t>
      </w:r>
    </w:p>
    <w:p w14:paraId="300144D2" w14:textId="011B559E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What capabilities must international executives develop to successfully implement sustainability strategies in Asia?</w:t>
      </w:r>
    </w:p>
    <w:p w14:paraId="3BBA0A06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Q21</w:t>
      </w:r>
    </w:p>
    <w:p w14:paraId="2F563C1A" w14:textId="4E0A009C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Why do U.S. corporate executives face distinct geopolitical, regulatory, and cultural ESG challenges when operating in Asia?</w:t>
      </w:r>
    </w:p>
    <w:p w14:paraId="1A4C6CDE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Q22</w:t>
      </w:r>
    </w:p>
    <w:p w14:paraId="738DDE94" w14:textId="514A3110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How can U.S. companies adapt leadership styles and governance practices to build trust and resilience in Asian markets?</w:t>
      </w:r>
    </w:p>
    <w:p w14:paraId="24A0C9B5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Section I: Other Stakeholders &amp; the Future</w:t>
      </w:r>
    </w:p>
    <w:p w14:paraId="4766E006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Q23</w:t>
      </w:r>
    </w:p>
    <w:p w14:paraId="1AD7E6D4" w14:textId="591D2F28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Discuss how NGOs, media, and local communities are reshaping corporate sustainability behaviour in Asia.</w:t>
      </w:r>
    </w:p>
    <w:p w14:paraId="67BF21D7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Q24</w:t>
      </w:r>
    </w:p>
    <w:p w14:paraId="5B02A5E5" w14:textId="5EDB26C3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Why are nonstate actors increasingly important to ESG enforcement in Asia?</w:t>
      </w:r>
    </w:p>
    <w:p w14:paraId="0FA32613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Q25</w:t>
      </w:r>
    </w:p>
    <w:p w14:paraId="536AE481" w14:textId="35A57C79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How can companies turn stakeholder engagement from a compliance exercise into a strategic advantage?</w:t>
      </w:r>
    </w:p>
    <w:p w14:paraId="46CD02EE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J: Capstone &amp; Synthesis</w:t>
      </w:r>
    </w:p>
    <w:p w14:paraId="41F63024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Q26</w:t>
      </w:r>
    </w:p>
    <w:p w14:paraId="7EA122FE" w14:textId="578F348A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Why is sustainability progress in Asia best described as “uneven but accelerating”?</w:t>
      </w:r>
    </w:p>
    <w:p w14:paraId="06C864C9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Q27</w:t>
      </w:r>
    </w:p>
    <w:p w14:paraId="35EDA8D8" w14:textId="43548291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Which sustainability themes are likely to advance fastest in Asia, and which are likely to lag? Explain why.</w:t>
      </w:r>
    </w:p>
    <w:p w14:paraId="79733A76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Q28</w:t>
      </w:r>
    </w:p>
    <w:p w14:paraId="34491A6E" w14:textId="6873F3B2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Why does governance reform remain the decisive factor for long-term sustainability resilience in Asia?</w:t>
      </w:r>
    </w:p>
    <w:p w14:paraId="7387C553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Q29</w:t>
      </w:r>
    </w:p>
    <w:p w14:paraId="25D21F84" w14:textId="0AD79F4E" w:rsidR="00C054D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How should boards and investors recalibrate sustainability expectations for Asia over the next decade?</w:t>
      </w:r>
    </w:p>
    <w:p w14:paraId="090FD3C9" w14:textId="77777777" w:rsidR="00C054DD" w:rsidRPr="00C054DD" w:rsidRDefault="00C054DD" w:rsidP="00C054DD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Q30</w:t>
      </w:r>
    </w:p>
    <w:p w14:paraId="1AC7592F" w14:textId="188F6A2B" w:rsidR="002553AD" w:rsidRPr="00C054DD" w:rsidRDefault="00C054DD" w:rsidP="00C054DD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C054DD">
        <w:rPr>
          <w:rFonts w:ascii="Times New Roman" w:eastAsia="Times New Roman" w:hAnsi="Times New Roman" w:cs="Times New Roman"/>
          <w:kern w:val="0"/>
          <w14:ligatures w14:val="none"/>
        </w:rPr>
        <w:t>Drawing on examples from at least three Asian markets, explain how stakeholder dynamics, governance structures, and regulation interact to shape sustainability outcomes.</w:t>
      </w:r>
    </w:p>
    <w:sectPr w:rsidR="002553AD" w:rsidRPr="00C054DD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83582B"/>
    <w:multiLevelType w:val="multilevel"/>
    <w:tmpl w:val="4F8AF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03C9A"/>
    <w:multiLevelType w:val="multilevel"/>
    <w:tmpl w:val="26B0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0812662">
    <w:abstractNumId w:val="1"/>
  </w:num>
  <w:num w:numId="2" w16cid:durableId="1385830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2MDIxNTQ1NDAyNzVT0lEKTi0uzszPAykwrAUAzXCENiwAAAA="/>
  </w:docVars>
  <w:rsids>
    <w:rsidRoot w:val="00C054DD"/>
    <w:rsid w:val="002553AD"/>
    <w:rsid w:val="00663CBB"/>
    <w:rsid w:val="00671FBC"/>
    <w:rsid w:val="0099363B"/>
    <w:rsid w:val="00AB0493"/>
    <w:rsid w:val="00BA4144"/>
    <w:rsid w:val="00C054DD"/>
    <w:rsid w:val="00C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851EE"/>
  <w15:chartTrackingRefBased/>
  <w15:docId w15:val="{048DB581-981B-4A8C-B3D5-582A2C35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54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54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54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4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54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54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54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54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54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4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054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054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4D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54D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54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54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54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54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54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54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54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54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54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54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54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54D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54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54D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54DD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05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054DD"/>
    <w:rPr>
      <w:b/>
      <w:bCs/>
    </w:rPr>
  </w:style>
  <w:style w:type="character" w:styleId="Emphasis">
    <w:name w:val="Emphasis"/>
    <w:basedOn w:val="DefaultParagraphFont"/>
    <w:uiPriority w:val="20"/>
    <w:qFormat/>
    <w:rsid w:val="00C054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1</cp:revision>
  <dcterms:created xsi:type="dcterms:W3CDTF">2026-01-07T23:34:00Z</dcterms:created>
  <dcterms:modified xsi:type="dcterms:W3CDTF">2026-01-07T23:41:00Z</dcterms:modified>
</cp:coreProperties>
</file>